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32"/>
          <w:szCs w:val="32"/>
          <w:u w:val="single"/>
        </w:rPr>
        <w:t xml:space="preserve">Limpet Mine “Mark 414” (7 Kg) </w:t>
      </w:r>
      <w:r>
        <w:rPr>
          <w:rFonts w:cs="Arial" w:ascii="Arial" w:hAnsi="Arial"/>
          <w:b/>
          <w:sz w:val="32"/>
          <w:szCs w:val="32"/>
          <w:u w:val="single"/>
        </w:rPr>
        <w:t>&amp; “Mark 430” (15Kg)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b/>
          <w:sz w:val="32"/>
          <w:szCs w:val="32"/>
          <w:u w:val="single"/>
        </w:rPr>
      </w:r>
    </w:p>
    <w:p>
      <w:pPr>
        <w:pStyle w:val="Default"/>
        <w:spacing w:lineRule="auto" w:line="360"/>
        <w:rPr>
          <w:b/>
          <w:b/>
        </w:rPr>
      </w:pPr>
      <w:r>
        <w:rPr>
          <w:bCs/>
          <w:sz w:val="28"/>
          <w:szCs w:val="28"/>
        </w:rPr>
        <w:t>1.</w:t>
        <w:tab/>
      </w:r>
      <w:r>
        <w:rPr>
          <w:b/>
          <w:u w:val="single"/>
        </w:rPr>
        <w:t>Brief Description/ Technical Details</w:t>
      </w:r>
      <w:bookmarkStart w:id="0" w:name="_GoBack"/>
      <w:bookmarkEnd w:id="0"/>
      <w:r>
        <w:rPr>
          <w:b/>
        </w:rPr>
        <w:t>.</w:t>
        <w:tab/>
      </w:r>
    </w:p>
    <w:p>
      <w:pPr>
        <w:pStyle w:val="Normal"/>
        <w:ind w:left="702" w:hanging="0"/>
        <w:jc w:val="both"/>
        <w:rPr/>
      </w:pPr>
      <w:r>
        <w:rPr>
          <w:rFonts w:cs="Arial" w:ascii="Arial" w:hAnsi="Arial"/>
          <w:sz w:val="24"/>
          <w:szCs w:val="24"/>
        </w:rPr>
        <w:t>(a)</w:t>
        <w:tab/>
        <w:t xml:space="preserve">The Limpet Mine 7 Kg </w:t>
      </w:r>
      <w:r>
        <w:rPr>
          <w:rFonts w:cs="Arial" w:ascii="Arial" w:hAnsi="Arial"/>
          <w:sz w:val="24"/>
          <w:szCs w:val="24"/>
        </w:rPr>
        <w:t xml:space="preserve">and 15 Kg </w:t>
      </w:r>
      <w:r>
        <w:rPr>
          <w:rFonts w:cs="Arial" w:ascii="Arial" w:hAnsi="Arial"/>
          <w:sz w:val="24"/>
          <w:szCs w:val="24"/>
        </w:rPr>
        <w:t>is required for use in Indian Navy to meet the operational requiremen</w:t>
      </w:r>
      <w:r>
        <w:rPr>
          <w:rFonts w:cs="Arial" w:ascii="Arial" w:hAnsi="Arial"/>
          <w:sz w:val="24"/>
          <w:szCs w:val="24"/>
        </w:rPr>
        <w:t>t</w:t>
      </w:r>
      <w:r>
        <w:rPr>
          <w:rFonts w:cs="Arial" w:ascii="Arial" w:hAnsi="Arial"/>
          <w:sz w:val="24"/>
          <w:szCs w:val="24"/>
        </w:rPr>
        <w:t>. The hemispherical pressure resistant mine bod</w:t>
      </w:r>
      <w:r>
        <w:rPr>
          <w:rFonts w:cs="Arial" w:ascii="Arial" w:hAnsi="Arial"/>
          <w:sz w:val="24"/>
          <w:szCs w:val="24"/>
        </w:rPr>
        <w:t>ies</w:t>
      </w:r>
      <w:r>
        <w:rPr>
          <w:rFonts w:cs="Arial" w:ascii="Arial" w:hAnsi="Arial"/>
          <w:sz w:val="24"/>
          <w:szCs w:val="24"/>
        </w:rPr>
        <w:t xml:space="preserve"> is made of fiber material with provisions of magnets capable of sticking to ship’s hull and explode with the help of time fuze and detonator. </w:t>
      </w:r>
    </w:p>
    <w:p>
      <w:pPr>
        <w:pStyle w:val="Normal"/>
        <w:ind w:left="702" w:hanging="0"/>
        <w:jc w:val="both"/>
        <w:rPr/>
      </w:pPr>
      <w:r>
        <w:rPr>
          <w:rFonts w:cs="Arial" w:ascii="Arial" w:hAnsi="Arial"/>
          <w:sz w:val="24"/>
          <w:szCs w:val="24"/>
        </w:rPr>
        <w:t>(b)</w:t>
        <w:tab/>
        <w:t xml:space="preserve">The Basic </w:t>
      </w:r>
      <w:r>
        <w:rPr>
          <w:rFonts w:cs="Arial" w:ascii="Arial" w:hAnsi="Arial"/>
          <w:sz w:val="24"/>
          <w:szCs w:val="24"/>
        </w:rPr>
        <w:t>s</w:t>
      </w:r>
      <w:r>
        <w:rPr>
          <w:rFonts w:cs="Arial" w:ascii="Arial" w:hAnsi="Arial"/>
          <w:sz w:val="24"/>
          <w:szCs w:val="24"/>
        </w:rPr>
        <w:t>pecification of Limpet mine</w:t>
      </w:r>
      <w:r>
        <w:rPr>
          <w:rFonts w:cs="Arial" w:ascii="Arial" w:hAnsi="Arial"/>
          <w:sz w:val="24"/>
          <w:szCs w:val="24"/>
        </w:rPr>
        <w:t>s</w:t>
      </w:r>
      <w:r>
        <w:rPr>
          <w:rFonts w:cs="Arial" w:ascii="Arial" w:hAnsi="Arial"/>
          <w:sz w:val="24"/>
          <w:szCs w:val="24"/>
        </w:rPr>
        <w:t xml:space="preserve"> are as mentioned below:-</w:t>
      </w:r>
    </w:p>
    <w:p>
      <w:pPr>
        <w:pStyle w:val="Normal"/>
        <w:ind w:left="70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94400" cy="319913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31991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margin" w:leftFromText="180" w:rightFromText="180" w:tblpX="0" w:tblpXSpec="right" w:tblpY="0" w:topFromText="0" w:vertAnchor="text"/>
                              <w:tblW w:w="7555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810"/>
                              <w:gridCol w:w="2250"/>
                              <w:gridCol w:w="2430"/>
                              <w:gridCol w:w="2065"/>
                            </w:tblGrid>
                            <w:tr>
                              <w:trPr/>
                              <w:tc>
                                <w:tcPr>
                                  <w:tcW w:w="8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center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1" w:name="__UnoMark__608_1006994891"/>
                                  <w:bookmarkEnd w:id="1"/>
                                  <w:r>
                                    <w:rPr>
                                      <w:rFonts w:eastAsia="Calibri" w:cs="Arial" w:eastAsiaTheme="minorHAnsi" w:ascii="Arial" w:hAnsi="Arial"/>
                                      <w:b/>
                                      <w:sz w:val="24"/>
                                      <w:szCs w:val="24"/>
                                      <w:lang w:bidi="ar-SA"/>
                                    </w:rPr>
                                    <w:t>S No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center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2" w:name="__UnoMark__609_1006994891"/>
                                  <w:bookmarkStart w:id="3" w:name="__UnoMark__610_1006994891"/>
                                  <w:bookmarkEnd w:id="2"/>
                                  <w:bookmarkEnd w:id="3"/>
                                  <w:r>
                                    <w:rPr>
                                      <w:rFonts w:eastAsia="Calibri" w:cs="Arial" w:eastAsiaTheme="minorHAnsi" w:ascii="Arial" w:hAnsi="Arial"/>
                                      <w:b/>
                                      <w:sz w:val="24"/>
                                      <w:szCs w:val="24"/>
                                      <w:lang w:bidi="ar-SA"/>
                                    </w:rPr>
                                    <w:t>Parameters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center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4" w:name="__UnoMark__611_1006994891"/>
                                  <w:bookmarkStart w:id="5" w:name="__UnoMark__612_1006994891"/>
                                  <w:bookmarkEnd w:id="4"/>
                                  <w:bookmarkEnd w:id="5"/>
                                  <w:r>
                                    <w:rPr>
                                      <w:rFonts w:eastAsia="Calibri" w:cs="Arial" w:eastAsiaTheme="minorHAnsi" w:ascii="Arial" w:hAnsi="Arial"/>
                                      <w:b/>
                                      <w:sz w:val="24"/>
                                      <w:szCs w:val="24"/>
                                      <w:lang w:bidi="ar-SA"/>
                                    </w:rPr>
                                    <w:t>LIMPET MINE 7 Kg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center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eastAsia="Calibri" w:cs="Arial" w:eastAsiaTheme="minorHAnsi" w:ascii="Arial" w:hAnsi="Arial"/>
                                      <w:b/>
                                      <w:sz w:val="24"/>
                                      <w:szCs w:val="24"/>
                                      <w:lang w:bidi="ar-SA"/>
                                    </w:rPr>
                                    <w:t xml:space="preserve">LIMPET MINE </w:t>
                                  </w:r>
                                  <w:r>
                                    <w:rPr>
                                      <w:rFonts w:eastAsia="Calibri" w:cs="Arial" w:eastAsiaTheme="minorHAnsi" w:ascii="Arial" w:hAnsi="Arial"/>
                                      <w:b/>
                                      <w:sz w:val="24"/>
                                      <w:szCs w:val="24"/>
                                      <w:lang w:bidi="ar-SA"/>
                                    </w:rPr>
                                    <w:t>15</w:t>
                                  </w:r>
                                  <w:r>
                                    <w:rPr>
                                      <w:rFonts w:eastAsia="Calibri" w:cs="Arial" w:eastAsiaTheme="minorHAnsi" w:ascii="Arial" w:hAnsi="Arial"/>
                                      <w:b/>
                                      <w:sz w:val="24"/>
                                      <w:szCs w:val="24"/>
                                      <w:lang w:bidi="ar-SA"/>
                                    </w:rPr>
                                    <w:t xml:space="preserve"> Kg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center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6" w:name="__UnoMark__613_1006994891"/>
                                  <w:bookmarkStart w:id="7" w:name="__UnoMark__614_1006994891"/>
                                  <w:bookmarkEnd w:id="6"/>
                                  <w:bookmarkEnd w:id="7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(i)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8" w:name="__UnoMark__615_1006994891"/>
                                  <w:bookmarkStart w:id="9" w:name="__UnoMark__616_1006994891"/>
                                  <w:bookmarkEnd w:id="8"/>
                                  <w:bookmarkEnd w:id="9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Shape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10" w:name="__UnoMark__617_1006994891"/>
                                  <w:bookmarkStart w:id="11" w:name="__UnoMark__618_1006994891"/>
                                  <w:bookmarkEnd w:id="10"/>
                                  <w:bookmarkEnd w:id="11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Hemispherical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  <w:t>Hemispherical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center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12" w:name="__UnoMark__619_1006994891"/>
                                  <w:bookmarkStart w:id="13" w:name="__UnoMark__620_1006994891"/>
                                  <w:bookmarkEnd w:id="12"/>
                                  <w:bookmarkEnd w:id="13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(ii)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14" w:name="__UnoMark__621_1006994891"/>
                                  <w:bookmarkStart w:id="15" w:name="__UnoMark__622_1006994891"/>
                                  <w:bookmarkEnd w:id="14"/>
                                  <w:bookmarkEnd w:id="15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Diameter (Base)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16" w:name="__UnoMark__623_1006994891"/>
                                  <w:bookmarkStart w:id="17" w:name="__UnoMark__624_1006994891"/>
                                  <w:bookmarkEnd w:id="16"/>
                                  <w:bookmarkEnd w:id="17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350 mm (max)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  <w:t>420 mm (max)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center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18" w:name="__UnoMark__625_1006994891"/>
                                  <w:bookmarkStart w:id="19" w:name="__UnoMark__626_1006994891"/>
                                  <w:bookmarkEnd w:id="18"/>
                                  <w:bookmarkEnd w:id="19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(iii)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20" w:name="__UnoMark__627_1006994891"/>
                                  <w:bookmarkStart w:id="21" w:name="__UnoMark__628_1006994891"/>
                                  <w:bookmarkEnd w:id="20"/>
                                  <w:bookmarkEnd w:id="21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Height (with magnet and Tube Clasper)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22" w:name="__UnoMark__629_1006994891"/>
                                  <w:bookmarkStart w:id="23" w:name="__UnoMark__630_1006994891"/>
                                  <w:bookmarkEnd w:id="22"/>
                                  <w:bookmarkEnd w:id="23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 xml:space="preserve">200 mm (max) 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  <w:t>230 mm (max)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center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24" w:name="__UnoMark__631_1006994891"/>
                                  <w:bookmarkStart w:id="25" w:name="__UnoMark__632_1006994891"/>
                                  <w:bookmarkEnd w:id="24"/>
                                  <w:bookmarkEnd w:id="25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(iv)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26" w:name="__UnoMark__633_1006994891"/>
                                  <w:bookmarkStart w:id="27" w:name="__UnoMark__634_1006994891"/>
                                  <w:bookmarkEnd w:id="26"/>
                                  <w:bookmarkEnd w:id="27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Weight in Air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28" w:name="__UnoMark__635_1006994891"/>
                                  <w:bookmarkStart w:id="29" w:name="__UnoMark__636_1006994891"/>
                                  <w:bookmarkEnd w:id="28"/>
                                  <w:bookmarkEnd w:id="29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12.0 Kg (max)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  <w:t>20.5Kg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center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30" w:name="__UnoMark__637_1006994891"/>
                                  <w:bookmarkStart w:id="31" w:name="__UnoMark__638_1006994891"/>
                                  <w:bookmarkEnd w:id="30"/>
                                  <w:bookmarkEnd w:id="31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(v)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32" w:name="__UnoMark__639_1006994891"/>
                                  <w:bookmarkStart w:id="33" w:name="__UnoMark__640_1006994891"/>
                                  <w:bookmarkEnd w:id="32"/>
                                  <w:bookmarkEnd w:id="33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Weight of Explosive (TNT)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34" w:name="__UnoMark__641_1006994891"/>
                                  <w:bookmarkStart w:id="35" w:name="__UnoMark__642_1006994891"/>
                                  <w:bookmarkEnd w:id="34"/>
                                  <w:bookmarkEnd w:id="35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7 Kg (max)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  <w:t>15 Kg (max)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center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36" w:name="__UnoMark__666_1006994891"/>
                                  <w:bookmarkEnd w:id="36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(vi)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  <w:t>Type of Explosive</w:t>
                                  </w:r>
                                </w:p>
                              </w:tc>
                              <w:tc>
                                <w:tcPr>
                                  <w:tcW w:w="4495" w:type="dxa"/>
                                  <w:gridSpan w:val="2"/>
                                  <w:tcBorders>
                                    <w:top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  <w:t>Insensitive Munition and compliant with STANAG 4439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center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37" w:name="__UnoMark__667_1006994891"/>
                                  <w:bookmarkEnd w:id="37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(vii)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38" w:name="__UnoMark__645_1006994891"/>
                                  <w:bookmarkStart w:id="39" w:name="__UnoMark__646_1006994891"/>
                                  <w:bookmarkEnd w:id="38"/>
                                  <w:bookmarkEnd w:id="39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Weight in water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40" w:name="__UnoMark__647_1006994891"/>
                                  <w:bookmarkStart w:id="41" w:name="__UnoMark__648_1006994891"/>
                                  <w:bookmarkEnd w:id="40"/>
                                  <w:bookmarkEnd w:id="41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&lt; 0.5 Kgs(-ve Buoyancy)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&lt; 0.5 Kgs(-ve Buoyancy)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center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42" w:name="__UnoMark__668_1006994891"/>
                                  <w:bookmarkEnd w:id="42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(viii)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43" w:name="__UnoMark__651_1006994891"/>
                                  <w:bookmarkStart w:id="44" w:name="__UnoMark__652_1006994891"/>
                                  <w:bookmarkEnd w:id="43"/>
                                  <w:bookmarkEnd w:id="44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Operating Depth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45" w:name="__UnoMark__653_1006994891"/>
                                  <w:bookmarkStart w:id="46" w:name="__UnoMark__654_1006994891"/>
                                  <w:bookmarkEnd w:id="45"/>
                                  <w:bookmarkEnd w:id="46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30 m (max)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  <w:t>30 m (max)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81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center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47" w:name="__UnoMark__656_1006994891"/>
                                  <w:bookmarkEnd w:id="47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(ix)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48" w:name="__UnoMark__657_1006994891"/>
                                  <w:bookmarkStart w:id="49" w:name="__UnoMark__658_1006994891"/>
                                  <w:bookmarkEnd w:id="48"/>
                                  <w:bookmarkEnd w:id="49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Detonator used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right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bookmarkStart w:id="50" w:name="__UnoMark__659_1006994891"/>
                                  <w:bookmarkEnd w:id="50"/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Detonator Electrical No. 82 Mk N2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144" w:hanging="0"/>
                                    <w:jc w:val="both"/>
                                    <w:rPr>
                                      <w:rFonts w:eastAsia="Calibri" w:eastAsiaTheme="minorHAnsi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eastAsia="Calibri" w:cs="Arial" w:eastAsiaTheme="minorHAnsi" w:ascii="Arial" w:hAnsi="Arial"/>
                                      <w:sz w:val="24"/>
                                      <w:szCs w:val="24"/>
                                      <w:lang w:bidi="ar-SA"/>
                                    </w:rPr>
                                    <w:t>Detonator Electrical No. 82 Mk N2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2pt;height:251.9pt;mso-wrap-distance-left:9pt;mso-wrap-distance-right:9pt;mso-wrap-distance-top:0pt;mso-wrap-distance-bottom:0pt;margin-top:0pt;mso-position-vertical-relative:text;margin-left:-13pt;mso-position-horizontal:right;mso-position-horizontal-relative:margin">
                <v:textbox inset="0in,0in,0in,0in">
                  <w:txbxContent>
                    <w:tbl>
                      <w:tblPr>
                        <w:tblStyle w:val="TableGrid"/>
                        <w:tblpPr w:bottomFromText="0" w:horzAnchor="margin" w:leftFromText="180" w:rightFromText="180" w:tblpX="0" w:tblpXSpec="right" w:tblpY="0" w:topFromText="0" w:vertAnchor="text"/>
                        <w:tblW w:w="7555" w:type="dxa"/>
                        <w:jc w:val="righ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810"/>
                        <w:gridCol w:w="2250"/>
                        <w:gridCol w:w="2430"/>
                        <w:gridCol w:w="2065"/>
                      </w:tblGrid>
                      <w:tr>
                        <w:trPr/>
                        <w:tc>
                          <w:tcPr>
                            <w:tcW w:w="8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center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51" w:name="__UnoMark__608_1006994891"/>
                            <w:bookmarkEnd w:id="51"/>
                            <w:r>
                              <w:rPr>
                                <w:rFonts w:eastAsia="Calibri" w:cs="Arial" w:eastAsiaTheme="minorHAnsi" w:ascii="Arial" w:hAnsi="Arial"/>
                                <w:b/>
                                <w:sz w:val="24"/>
                                <w:szCs w:val="24"/>
                                <w:lang w:bidi="ar-SA"/>
                              </w:rPr>
                              <w:t>S No</w:t>
                            </w:r>
                          </w:p>
                        </w:tc>
                        <w:tc>
                          <w:tcPr>
                            <w:tcW w:w="22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center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52" w:name="__UnoMark__609_1006994891"/>
                            <w:bookmarkStart w:id="53" w:name="__UnoMark__610_1006994891"/>
                            <w:bookmarkEnd w:id="52"/>
                            <w:bookmarkEnd w:id="53"/>
                            <w:r>
                              <w:rPr>
                                <w:rFonts w:eastAsia="Calibri" w:cs="Arial" w:eastAsiaTheme="minorHAnsi" w:ascii="Arial" w:hAnsi="Arial"/>
                                <w:b/>
                                <w:sz w:val="24"/>
                                <w:szCs w:val="24"/>
                                <w:lang w:bidi="ar-SA"/>
                              </w:rPr>
                              <w:t>Parameters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center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54" w:name="__UnoMark__611_1006994891"/>
                            <w:bookmarkStart w:id="55" w:name="__UnoMark__612_1006994891"/>
                            <w:bookmarkEnd w:id="54"/>
                            <w:bookmarkEnd w:id="55"/>
                            <w:r>
                              <w:rPr>
                                <w:rFonts w:eastAsia="Calibri" w:cs="Arial" w:eastAsiaTheme="minorHAnsi" w:ascii="Arial" w:hAnsi="Arial"/>
                                <w:b/>
                                <w:sz w:val="24"/>
                                <w:szCs w:val="24"/>
                                <w:lang w:bidi="ar-SA"/>
                              </w:rPr>
                              <w:t>LIMPET MINE 7 Kg</w:t>
                            </w:r>
                          </w:p>
                        </w:tc>
                        <w:tc>
                          <w:tcPr>
                            <w:tcW w:w="20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center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r>
                              <w:rPr>
                                <w:rFonts w:eastAsia="Calibri" w:cs="Arial" w:eastAsiaTheme="minorHAnsi" w:ascii="Arial" w:hAnsi="Arial"/>
                                <w:b/>
                                <w:sz w:val="24"/>
                                <w:szCs w:val="24"/>
                                <w:lang w:bidi="ar-SA"/>
                              </w:rPr>
                              <w:t xml:space="preserve">LIMPET MINE </w:t>
                            </w:r>
                            <w:r>
                              <w:rPr>
                                <w:rFonts w:eastAsia="Calibri" w:cs="Arial" w:eastAsiaTheme="minorHAnsi" w:ascii="Arial" w:hAnsi="Arial"/>
                                <w:b/>
                                <w:sz w:val="24"/>
                                <w:szCs w:val="24"/>
                                <w:lang w:bidi="ar-SA"/>
                              </w:rPr>
                              <w:t>15</w:t>
                            </w:r>
                            <w:r>
                              <w:rPr>
                                <w:rFonts w:eastAsia="Calibri" w:cs="Arial" w:eastAsiaTheme="minorHAnsi" w:ascii="Arial" w:hAnsi="Arial"/>
                                <w:b/>
                                <w:sz w:val="24"/>
                                <w:szCs w:val="24"/>
                                <w:lang w:bidi="ar-SA"/>
                              </w:rPr>
                              <w:t xml:space="preserve"> Kg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center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56" w:name="__UnoMark__613_1006994891"/>
                            <w:bookmarkStart w:id="57" w:name="__UnoMark__614_1006994891"/>
                            <w:bookmarkEnd w:id="56"/>
                            <w:bookmarkEnd w:id="57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(i)</w:t>
                            </w:r>
                          </w:p>
                        </w:tc>
                        <w:tc>
                          <w:tcPr>
                            <w:tcW w:w="22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58" w:name="__UnoMark__615_1006994891"/>
                            <w:bookmarkStart w:id="59" w:name="__UnoMark__616_1006994891"/>
                            <w:bookmarkEnd w:id="58"/>
                            <w:bookmarkEnd w:id="59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Shape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60" w:name="__UnoMark__617_1006994891"/>
                            <w:bookmarkStart w:id="61" w:name="__UnoMark__618_1006994891"/>
                            <w:bookmarkEnd w:id="60"/>
                            <w:bookmarkEnd w:id="61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Hemispherical</w:t>
                            </w:r>
                          </w:p>
                        </w:tc>
                        <w:tc>
                          <w:tcPr>
                            <w:tcW w:w="20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r>
                              <w:rPr>
                                <w:rFonts w:eastAsia="Calibri" w:eastAsiaTheme="minorHAnsi"/>
                                <w:lang w:bidi="ar-SA"/>
                              </w:rPr>
                              <w:t>Hemispherical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center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62" w:name="__UnoMark__619_1006994891"/>
                            <w:bookmarkStart w:id="63" w:name="__UnoMark__620_1006994891"/>
                            <w:bookmarkEnd w:id="62"/>
                            <w:bookmarkEnd w:id="63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(ii)</w:t>
                            </w:r>
                          </w:p>
                        </w:tc>
                        <w:tc>
                          <w:tcPr>
                            <w:tcW w:w="22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64" w:name="__UnoMark__621_1006994891"/>
                            <w:bookmarkStart w:id="65" w:name="__UnoMark__622_1006994891"/>
                            <w:bookmarkEnd w:id="64"/>
                            <w:bookmarkEnd w:id="65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Diameter (Base)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66" w:name="__UnoMark__623_1006994891"/>
                            <w:bookmarkStart w:id="67" w:name="__UnoMark__624_1006994891"/>
                            <w:bookmarkEnd w:id="66"/>
                            <w:bookmarkEnd w:id="67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350 mm (max)</w:t>
                            </w:r>
                          </w:p>
                        </w:tc>
                        <w:tc>
                          <w:tcPr>
                            <w:tcW w:w="20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r>
                              <w:rPr>
                                <w:rFonts w:eastAsia="Calibri" w:eastAsiaTheme="minorHAnsi"/>
                                <w:lang w:bidi="ar-SA"/>
                              </w:rPr>
                              <w:t>420 mm (max)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center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68" w:name="__UnoMark__625_1006994891"/>
                            <w:bookmarkStart w:id="69" w:name="__UnoMark__626_1006994891"/>
                            <w:bookmarkEnd w:id="68"/>
                            <w:bookmarkEnd w:id="69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(iii)</w:t>
                            </w:r>
                          </w:p>
                        </w:tc>
                        <w:tc>
                          <w:tcPr>
                            <w:tcW w:w="22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70" w:name="__UnoMark__627_1006994891"/>
                            <w:bookmarkStart w:id="71" w:name="__UnoMark__628_1006994891"/>
                            <w:bookmarkEnd w:id="70"/>
                            <w:bookmarkEnd w:id="71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Height (with magnet and Tube Clasper)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72" w:name="__UnoMark__629_1006994891"/>
                            <w:bookmarkStart w:id="73" w:name="__UnoMark__630_1006994891"/>
                            <w:bookmarkEnd w:id="72"/>
                            <w:bookmarkEnd w:id="73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 xml:space="preserve">200 mm (max) </w:t>
                            </w:r>
                          </w:p>
                        </w:tc>
                        <w:tc>
                          <w:tcPr>
                            <w:tcW w:w="20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r>
                              <w:rPr>
                                <w:rFonts w:eastAsia="Calibri" w:eastAsiaTheme="minorHAnsi"/>
                                <w:lang w:bidi="ar-SA"/>
                              </w:rPr>
                              <w:t>230 mm (max)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center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74" w:name="__UnoMark__631_1006994891"/>
                            <w:bookmarkStart w:id="75" w:name="__UnoMark__632_1006994891"/>
                            <w:bookmarkEnd w:id="74"/>
                            <w:bookmarkEnd w:id="75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(iv)</w:t>
                            </w:r>
                          </w:p>
                        </w:tc>
                        <w:tc>
                          <w:tcPr>
                            <w:tcW w:w="22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76" w:name="__UnoMark__633_1006994891"/>
                            <w:bookmarkStart w:id="77" w:name="__UnoMark__634_1006994891"/>
                            <w:bookmarkEnd w:id="76"/>
                            <w:bookmarkEnd w:id="77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Weight in Air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78" w:name="__UnoMark__635_1006994891"/>
                            <w:bookmarkStart w:id="79" w:name="__UnoMark__636_1006994891"/>
                            <w:bookmarkEnd w:id="78"/>
                            <w:bookmarkEnd w:id="79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12.0 Kg (max)</w:t>
                            </w:r>
                          </w:p>
                        </w:tc>
                        <w:tc>
                          <w:tcPr>
                            <w:tcW w:w="20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r>
                              <w:rPr>
                                <w:rFonts w:eastAsia="Calibri" w:eastAsiaTheme="minorHAnsi"/>
                                <w:lang w:bidi="ar-SA"/>
                              </w:rPr>
                              <w:t>20.5Kg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center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80" w:name="__UnoMark__637_1006994891"/>
                            <w:bookmarkStart w:id="81" w:name="__UnoMark__638_1006994891"/>
                            <w:bookmarkEnd w:id="80"/>
                            <w:bookmarkEnd w:id="81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(v)</w:t>
                            </w:r>
                          </w:p>
                        </w:tc>
                        <w:tc>
                          <w:tcPr>
                            <w:tcW w:w="22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82" w:name="__UnoMark__639_1006994891"/>
                            <w:bookmarkStart w:id="83" w:name="__UnoMark__640_1006994891"/>
                            <w:bookmarkEnd w:id="82"/>
                            <w:bookmarkEnd w:id="83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Weight of Explosive (TNT)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84" w:name="__UnoMark__641_1006994891"/>
                            <w:bookmarkStart w:id="85" w:name="__UnoMark__642_1006994891"/>
                            <w:bookmarkEnd w:id="84"/>
                            <w:bookmarkEnd w:id="85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7 Kg (max)</w:t>
                            </w:r>
                          </w:p>
                        </w:tc>
                        <w:tc>
                          <w:tcPr>
                            <w:tcW w:w="20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r>
                              <w:rPr>
                                <w:rFonts w:eastAsia="Calibri" w:eastAsiaTheme="minorHAnsi"/>
                                <w:lang w:bidi="ar-SA"/>
                              </w:rPr>
                              <w:t>15 Kg (max)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center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86" w:name="__UnoMark__666_1006994891"/>
                            <w:bookmarkEnd w:id="86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(vi)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r>
                              <w:rPr>
                                <w:rFonts w:eastAsia="Calibri" w:eastAsiaTheme="minorHAnsi"/>
                                <w:lang w:bidi="ar-SA"/>
                              </w:rPr>
                              <w:t>Type of Explosive</w:t>
                            </w:r>
                          </w:p>
                        </w:tc>
                        <w:tc>
                          <w:tcPr>
                            <w:tcW w:w="4495" w:type="dxa"/>
                            <w:gridSpan w:val="2"/>
                            <w:tcBorders>
                              <w:top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r>
                              <w:rPr>
                                <w:rFonts w:eastAsia="Calibri" w:eastAsiaTheme="minorHAnsi"/>
                                <w:lang w:bidi="ar-SA"/>
                              </w:rPr>
                              <w:t>Insensitive Munition and compliant with STANAG 4439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center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87" w:name="__UnoMark__667_1006994891"/>
                            <w:bookmarkEnd w:id="87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(vii)</w:t>
                            </w:r>
                          </w:p>
                        </w:tc>
                        <w:tc>
                          <w:tcPr>
                            <w:tcW w:w="22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88" w:name="__UnoMark__645_1006994891"/>
                            <w:bookmarkStart w:id="89" w:name="__UnoMark__646_1006994891"/>
                            <w:bookmarkEnd w:id="88"/>
                            <w:bookmarkEnd w:id="89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Weight in water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90" w:name="__UnoMark__647_1006994891"/>
                            <w:bookmarkStart w:id="91" w:name="__UnoMark__648_1006994891"/>
                            <w:bookmarkEnd w:id="90"/>
                            <w:bookmarkEnd w:id="91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&lt; 0.5 Kgs(-ve Buoyancy)</w:t>
                            </w:r>
                          </w:p>
                        </w:tc>
                        <w:tc>
                          <w:tcPr>
                            <w:tcW w:w="20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&lt; 0.5 Kgs(-ve Buoyancy)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center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92" w:name="__UnoMark__668_1006994891"/>
                            <w:bookmarkEnd w:id="92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(viii)</w:t>
                            </w:r>
                          </w:p>
                        </w:tc>
                        <w:tc>
                          <w:tcPr>
                            <w:tcW w:w="22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93" w:name="__UnoMark__651_1006994891"/>
                            <w:bookmarkStart w:id="94" w:name="__UnoMark__652_1006994891"/>
                            <w:bookmarkEnd w:id="93"/>
                            <w:bookmarkEnd w:id="94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Operating Depth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95" w:name="__UnoMark__653_1006994891"/>
                            <w:bookmarkStart w:id="96" w:name="__UnoMark__654_1006994891"/>
                            <w:bookmarkEnd w:id="95"/>
                            <w:bookmarkEnd w:id="96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30 m (max)</w:t>
                            </w:r>
                          </w:p>
                        </w:tc>
                        <w:tc>
                          <w:tcPr>
                            <w:tcW w:w="20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r>
                              <w:rPr>
                                <w:rFonts w:eastAsia="Calibri" w:eastAsiaTheme="minorHAnsi"/>
                                <w:lang w:bidi="ar-SA"/>
                              </w:rPr>
                              <w:t>30 m (max)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81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center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97" w:name="__UnoMark__656_1006994891"/>
                            <w:bookmarkEnd w:id="97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(ix)</w:t>
                            </w:r>
                          </w:p>
                        </w:tc>
                        <w:tc>
                          <w:tcPr>
                            <w:tcW w:w="225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98" w:name="__UnoMark__657_1006994891"/>
                            <w:bookmarkStart w:id="99" w:name="__UnoMark__658_1006994891"/>
                            <w:bookmarkEnd w:id="98"/>
                            <w:bookmarkEnd w:id="99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Detonator used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right w:val="nil"/>
                              <w:insideV w:val="nil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bookmarkStart w:id="100" w:name="__UnoMark__659_1006994891"/>
                            <w:bookmarkEnd w:id="100"/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Detonator Electrical No. 82 Mk N2</w:t>
                            </w:r>
                          </w:p>
                        </w:tc>
                        <w:tc>
                          <w:tcPr>
                            <w:tcW w:w="206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144" w:hanging="0"/>
                              <w:jc w:val="both"/>
                              <w:rPr>
                                <w:rFonts w:eastAsia="Calibri" w:eastAsiaTheme="minorHAnsi"/>
                                <w:lang w:bidi="ar-SA"/>
                              </w:rPr>
                            </w:pPr>
                            <w:r>
                              <w:rPr>
                                <w:rFonts w:eastAsia="Calibri" w:cs="Arial" w:eastAsiaTheme="minorHAnsi" w:ascii="Arial" w:hAnsi="Arial"/>
                                <w:sz w:val="24"/>
                                <w:szCs w:val="24"/>
                                <w:lang w:bidi="ar-SA"/>
                              </w:rPr>
                              <w:t>Detonator Electrical No. 82 Mk N2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702" w:hanging="72"/>
        <w:jc w:val="both"/>
        <w:rPr/>
      </w:pPr>
      <w:r>
        <w:rPr>
          <w:rFonts w:cs="Arial" w:ascii="Arial" w:hAnsi="Arial"/>
          <w:sz w:val="24"/>
          <w:szCs w:val="24"/>
        </w:rPr>
        <w:tab/>
        <w:tab/>
        <w:t>(c)</w:t>
        <w:tab/>
        <w:t xml:space="preserve">Necessary license for explosive ingredients are required to be obtained by </w:t>
        <w:tab/>
        <w:t xml:space="preserve">the manufacturers. During development necessary sample are required to be </w:t>
        <w:tab/>
        <w:t>submitted by manufacturer for the fitment, functional trials, QT and ETs etc.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</w:rPr>
        <w:t>2.</w:t>
        <w:tab/>
      </w:r>
      <w:r>
        <w:rPr>
          <w:rFonts w:cs="Arial" w:ascii="Arial" w:hAnsi="Arial"/>
          <w:b/>
          <w:bCs/>
          <w:sz w:val="24"/>
          <w:u w:val="single"/>
        </w:rPr>
        <w:t>Tentative</w:t>
      </w:r>
      <w:r>
        <w:rPr>
          <w:rFonts w:cs="Arial" w:ascii="Arial" w:hAnsi="Arial"/>
          <w:sz w:val="24"/>
          <w:u w:val="single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Quantity</w:t>
      </w:r>
      <w:r>
        <w:rPr>
          <w:rFonts w:cs="Arial" w:ascii="Arial" w:hAnsi="Arial"/>
          <w:b/>
          <w:sz w:val="24"/>
          <w:szCs w:val="24"/>
        </w:rPr>
        <w:t>.</w:t>
        <w:tab/>
      </w:r>
      <w:r>
        <w:rPr>
          <w:rFonts w:cs="Arial" w:ascii="Arial" w:hAnsi="Arial"/>
          <w:sz w:val="24"/>
          <w:szCs w:val="24"/>
        </w:rPr>
        <w:t>100/year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</w:t>
        <w:tab/>
      </w:r>
      <w:r>
        <w:rPr>
          <w:rFonts w:cs="Arial" w:ascii="Arial" w:hAnsi="Arial"/>
          <w:b/>
          <w:bCs/>
          <w:sz w:val="24"/>
          <w:szCs w:val="24"/>
          <w:u w:val="single"/>
        </w:rPr>
        <w:t>Tentative Timeline for Development/ Production</w:t>
      </w:r>
      <w:r>
        <w:rPr>
          <w:rFonts w:cs="Arial" w:ascii="Arial" w:hAnsi="Arial"/>
          <w:sz w:val="24"/>
          <w:szCs w:val="24"/>
        </w:rPr>
        <w:t>.</w:t>
        <w:tab/>
        <w:t>Two- three years</w:t>
      </w:r>
    </w:p>
    <w:p>
      <w:pPr>
        <w:pStyle w:val="Normal"/>
        <w:rPr>
          <w:rFonts w:ascii="Arial" w:hAnsi="Arial" w:cs="Arial"/>
          <w:b/>
          <w:b/>
          <w:sz w:val="32"/>
          <w:szCs w:val="32"/>
          <w:u w:val="single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2240" w:h="15840"/>
      <w:pgMar w:left="1440" w:right="1440" w:header="0" w:top="1350" w:footer="0" w:bottom="5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Mangal" w:asciiTheme="minorHAnsi" w:cstheme="minorBidi" w:eastAsiaTheme="minorEastAsia" w:hAnsiTheme="minorHAnsi"/>
        <w:sz w:val="22"/>
        <w:lang w:val="en-US" w:eastAsia="en-US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Mangal" w:asciiTheme="minorHAnsi" w:cstheme="minorBidi" w:eastAsiaTheme="minorEastAsia" w:hAnsiTheme="minorHAnsi"/>
      <w:color w:val="auto"/>
      <w:sz w:val="22"/>
      <w:szCs w:val="20"/>
      <w:lang w:val="en-US" w:eastAsia="en-US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c61a7"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315f1"/>
    <w:pPr>
      <w:spacing w:lineRule="auto" w:line="259" w:before="0" w:after="160"/>
      <w:ind w:left="720" w:hanging="0"/>
      <w:contextualSpacing/>
    </w:pPr>
    <w:rPr>
      <w:rFonts w:eastAsia="Calibri" w:eastAsiaTheme="minorHAnsi"/>
      <w:szCs w:val="22"/>
      <w:lang w:bidi="ar-SA"/>
    </w:rPr>
  </w:style>
  <w:style w:type="paragraph" w:styleId="NoSpacing">
    <w:name w:val="No Spacing"/>
    <w:basedOn w:val="Normal"/>
    <w:uiPriority w:val="1"/>
    <w:qFormat/>
    <w:rsid w:val="00ff4962"/>
    <w:pPr>
      <w:spacing w:lineRule="auto" w:line="240" w:before="0" w:after="0"/>
    </w:pPr>
    <w:rPr>
      <w:szCs w:val="22"/>
      <w:lang w:bidi="ar-SA"/>
    </w:rPr>
  </w:style>
  <w:style w:type="paragraph" w:styleId="Default" w:customStyle="1">
    <w:name w:val="Default"/>
    <w:qFormat/>
    <w:rsid w:val="00276102"/>
    <w:pPr>
      <w:widowControl/>
      <w:bidi w:val="0"/>
      <w:spacing w:lineRule="auto" w:line="240" w:before="0" w:after="0"/>
      <w:jc w:val="left"/>
    </w:pPr>
    <w:rPr>
      <w:rFonts w:ascii="Arial" w:hAnsi="Arial" w:cs="Arial" w:eastAsia=""/>
      <w:color w:val="000000"/>
      <w:sz w:val="24"/>
      <w:szCs w:val="24"/>
      <w:lang w:val="en-US" w:eastAsia="en-US" w:bidi="hi-IN"/>
    </w:rPr>
  </w:style>
  <w:style w:type="paragraph" w:styleId="NormalWeb">
    <w:name w:val="Normal (Web)"/>
    <w:basedOn w:val="Normal"/>
    <w:uiPriority w:val="99"/>
    <w:semiHidden/>
    <w:unhideWhenUsed/>
    <w:qFormat/>
    <w:rsid w:val="00520d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61a7"/>
    <w:pPr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315f1"/>
    <w:pPr>
      <w:spacing w:after="0" w:line="240" w:lineRule="auto"/>
    </w:pPr>
    <w:rPr>
      <w:rFonts w:eastAsiaTheme="minorHAnsi"/>
      <w:lang w:bidi="ar-SA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LibreOffice/5.0.2.2$Linux_x86 LibreOffice_project/00m0$Build-2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2019-02-19T05:09:00Z</dcterms:created>
  <dc:creator>3726659N</dc:creator>
  <dc:language>en-US</dc:language>
  <cp:lastModifiedBy>dapi </cp:lastModifiedBy>
  <cp:lastPrinted>2018-03-19T09:08:00Z</cp:lastPrinted>
  <dcterms:modified xsi:type="dcterms:W3CDTF">2020-04-08T13:32:49Z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