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9292" w14:textId="6EF09DC3" w:rsidR="00B36B2F" w:rsidRPr="003C4239" w:rsidRDefault="00B36B2F" w:rsidP="00B36B2F">
      <w:pPr>
        <w:spacing w:after="0" w:line="240" w:lineRule="auto"/>
        <w:jc w:val="center"/>
        <w:rPr>
          <w:rFonts w:ascii="Arial" w:hAnsi="Arial" w:cs="Arial"/>
          <w:b/>
          <w:bCs/>
          <w:sz w:val="24"/>
          <w:szCs w:val="24"/>
          <w:u w:val="single"/>
        </w:rPr>
      </w:pPr>
      <w:r w:rsidRPr="003C4239">
        <w:rPr>
          <w:rFonts w:ascii="Arial" w:hAnsi="Arial" w:cs="Arial"/>
          <w:b/>
          <w:bCs/>
          <w:sz w:val="24"/>
          <w:szCs w:val="24"/>
          <w:u w:val="single"/>
        </w:rPr>
        <w:t xml:space="preserve">BRIEF </w:t>
      </w:r>
      <w:r>
        <w:rPr>
          <w:rFonts w:ascii="Arial" w:hAnsi="Arial" w:cs="Arial"/>
          <w:b/>
          <w:bCs/>
          <w:sz w:val="24"/>
          <w:szCs w:val="24"/>
          <w:u w:val="single"/>
        </w:rPr>
        <w:t xml:space="preserve">: </w:t>
      </w:r>
      <w:bookmarkStart w:id="0" w:name="_GoBack"/>
      <w:bookmarkEnd w:id="0"/>
      <w:r w:rsidRPr="003C4239">
        <w:rPr>
          <w:rFonts w:ascii="Arial" w:hAnsi="Arial" w:cs="Arial"/>
          <w:b/>
          <w:bCs/>
          <w:sz w:val="24"/>
          <w:szCs w:val="24"/>
          <w:u w:val="single"/>
        </w:rPr>
        <w:t>DEVELOPMENT OF WING DROP TANK FOR MIRAGE -2000 AIRCRAFT</w:t>
      </w:r>
    </w:p>
    <w:p w14:paraId="4E27E2C6" w14:textId="77777777" w:rsidR="00B36B2F" w:rsidRDefault="00B36B2F" w:rsidP="00B36B2F">
      <w:pPr>
        <w:spacing w:after="0" w:line="240" w:lineRule="auto"/>
        <w:jc w:val="center"/>
        <w:rPr>
          <w:rFonts w:ascii="Arial" w:hAnsi="Arial" w:cs="Arial"/>
          <w:sz w:val="24"/>
          <w:szCs w:val="24"/>
        </w:rPr>
      </w:pPr>
    </w:p>
    <w:p w14:paraId="68C240B6" w14:textId="77777777" w:rsidR="00B36B2F" w:rsidRPr="003C4239" w:rsidRDefault="00B36B2F" w:rsidP="00B36B2F">
      <w:pPr>
        <w:spacing w:after="0" w:line="240" w:lineRule="auto"/>
        <w:jc w:val="both"/>
        <w:rPr>
          <w:rFonts w:ascii="Arial" w:hAnsi="Arial" w:cs="Arial"/>
          <w:sz w:val="24"/>
          <w:szCs w:val="24"/>
        </w:rPr>
      </w:pPr>
    </w:p>
    <w:p w14:paraId="7F3967E5" w14:textId="77777777" w:rsidR="00B36B2F" w:rsidRDefault="00B36B2F" w:rsidP="00B36B2F">
      <w:pPr>
        <w:pStyle w:val="ListParagraph"/>
        <w:numPr>
          <w:ilvl w:val="0"/>
          <w:numId w:val="1"/>
        </w:numPr>
        <w:tabs>
          <w:tab w:val="left" w:pos="567"/>
        </w:tabs>
        <w:spacing w:after="0" w:line="240" w:lineRule="auto"/>
        <w:ind w:left="0" w:firstLine="0"/>
        <w:jc w:val="both"/>
        <w:rPr>
          <w:rFonts w:ascii="Arial" w:hAnsi="Arial" w:cs="Arial"/>
          <w:sz w:val="24"/>
          <w:szCs w:val="24"/>
        </w:rPr>
      </w:pPr>
      <w:r w:rsidRPr="003C4239">
        <w:rPr>
          <w:rFonts w:ascii="Arial" w:hAnsi="Arial" w:cs="Arial"/>
          <w:sz w:val="24"/>
          <w:szCs w:val="24"/>
        </w:rPr>
        <w:t xml:space="preserve">The </w:t>
      </w:r>
      <w:r>
        <w:rPr>
          <w:rFonts w:ascii="Arial" w:hAnsi="Arial" w:cs="Arial"/>
          <w:sz w:val="24"/>
          <w:szCs w:val="24"/>
        </w:rPr>
        <w:t>Wing Drop Tank</w:t>
      </w:r>
      <w:r w:rsidRPr="003C4239">
        <w:rPr>
          <w:rFonts w:ascii="Arial" w:hAnsi="Arial" w:cs="Arial"/>
          <w:sz w:val="24"/>
          <w:szCs w:val="24"/>
        </w:rPr>
        <w:t xml:space="preserve"> is installed on </w:t>
      </w:r>
      <w:r>
        <w:rPr>
          <w:rFonts w:ascii="Arial" w:hAnsi="Arial" w:cs="Arial"/>
          <w:sz w:val="24"/>
          <w:szCs w:val="24"/>
        </w:rPr>
        <w:t xml:space="preserve">a </w:t>
      </w:r>
      <w:r w:rsidRPr="003C4239">
        <w:rPr>
          <w:rFonts w:ascii="Arial" w:hAnsi="Arial" w:cs="Arial"/>
          <w:sz w:val="24"/>
          <w:szCs w:val="24"/>
        </w:rPr>
        <w:t>pylon under the outboard wing stations</w:t>
      </w:r>
      <w:r>
        <w:rPr>
          <w:rFonts w:ascii="Arial" w:hAnsi="Arial" w:cs="Arial"/>
          <w:sz w:val="24"/>
          <w:szCs w:val="24"/>
        </w:rPr>
        <w:t xml:space="preserve"> of the aircraft</w:t>
      </w:r>
      <w:r w:rsidRPr="003C4239">
        <w:rPr>
          <w:rFonts w:ascii="Arial" w:hAnsi="Arial" w:cs="Arial"/>
          <w:sz w:val="24"/>
          <w:szCs w:val="24"/>
        </w:rPr>
        <w:t>.</w:t>
      </w:r>
      <w:r>
        <w:rPr>
          <w:rFonts w:ascii="Arial" w:hAnsi="Arial" w:cs="Arial"/>
          <w:sz w:val="24"/>
          <w:szCs w:val="24"/>
        </w:rPr>
        <w:t xml:space="preserve"> The </w:t>
      </w:r>
      <w:r w:rsidRPr="003C4239">
        <w:rPr>
          <w:rFonts w:ascii="Arial" w:hAnsi="Arial" w:cs="Arial"/>
          <w:sz w:val="24"/>
          <w:szCs w:val="24"/>
        </w:rPr>
        <w:t>tank has a capacity of 1300 litres</w:t>
      </w:r>
      <w:r>
        <w:rPr>
          <w:rFonts w:ascii="Arial" w:hAnsi="Arial" w:cs="Arial"/>
          <w:sz w:val="24"/>
          <w:szCs w:val="24"/>
        </w:rPr>
        <w:t xml:space="preserve"> </w:t>
      </w:r>
      <w:r w:rsidRPr="003C4239">
        <w:rPr>
          <w:rFonts w:ascii="Arial" w:hAnsi="Arial" w:cs="Arial"/>
          <w:sz w:val="24"/>
          <w:szCs w:val="24"/>
        </w:rPr>
        <w:t>(343.46 USG)</w:t>
      </w:r>
      <w:r>
        <w:rPr>
          <w:rFonts w:ascii="Arial" w:hAnsi="Arial" w:cs="Arial"/>
          <w:sz w:val="24"/>
          <w:szCs w:val="24"/>
        </w:rPr>
        <w:t>.</w:t>
      </w:r>
      <w:r w:rsidRPr="003C4239">
        <w:rPr>
          <w:rFonts w:ascii="Arial" w:hAnsi="Arial" w:cs="Arial"/>
          <w:sz w:val="24"/>
          <w:szCs w:val="24"/>
        </w:rPr>
        <w:t xml:space="preserve"> </w:t>
      </w:r>
    </w:p>
    <w:p w14:paraId="5853BDF7" w14:textId="77777777" w:rsidR="00B36B2F" w:rsidRDefault="00B36B2F" w:rsidP="00B36B2F">
      <w:pPr>
        <w:pStyle w:val="ListParagraph"/>
        <w:tabs>
          <w:tab w:val="left" w:pos="567"/>
        </w:tabs>
        <w:spacing w:after="0" w:line="240" w:lineRule="auto"/>
        <w:ind w:left="0"/>
        <w:jc w:val="both"/>
        <w:rPr>
          <w:rFonts w:ascii="Arial" w:hAnsi="Arial" w:cs="Arial"/>
          <w:sz w:val="24"/>
          <w:szCs w:val="24"/>
        </w:rPr>
      </w:pPr>
    </w:p>
    <w:p w14:paraId="1FAB9DA6" w14:textId="77777777" w:rsidR="00B36B2F" w:rsidRDefault="00B36B2F" w:rsidP="00B36B2F">
      <w:pPr>
        <w:pStyle w:val="ListParagraph"/>
        <w:numPr>
          <w:ilvl w:val="0"/>
          <w:numId w:val="1"/>
        </w:numPr>
        <w:tabs>
          <w:tab w:val="left" w:pos="567"/>
        </w:tabs>
        <w:spacing w:after="0" w:line="240" w:lineRule="auto"/>
        <w:ind w:left="0" w:firstLine="0"/>
        <w:jc w:val="both"/>
        <w:rPr>
          <w:rFonts w:ascii="Arial" w:hAnsi="Arial" w:cs="Arial"/>
          <w:sz w:val="24"/>
          <w:szCs w:val="24"/>
        </w:rPr>
      </w:pPr>
      <w:r w:rsidRPr="003C4239">
        <w:rPr>
          <w:rFonts w:ascii="Arial" w:hAnsi="Arial" w:cs="Arial"/>
          <w:sz w:val="24"/>
          <w:szCs w:val="24"/>
        </w:rPr>
        <w:t xml:space="preserve">Wing drop tank is made essentially of light alloy and the structure is composed of the following </w:t>
      </w:r>
      <w:proofErr w:type="gramStart"/>
      <w:r w:rsidRPr="003C4239">
        <w:rPr>
          <w:rFonts w:ascii="Arial" w:hAnsi="Arial" w:cs="Arial"/>
          <w:sz w:val="24"/>
          <w:szCs w:val="24"/>
        </w:rPr>
        <w:t>assemblies:-</w:t>
      </w:r>
      <w:proofErr w:type="gramEnd"/>
    </w:p>
    <w:p w14:paraId="15CBB8E2" w14:textId="77777777" w:rsidR="00B36B2F" w:rsidRDefault="00B36B2F" w:rsidP="00B36B2F">
      <w:pPr>
        <w:pStyle w:val="ListParagraph"/>
        <w:tabs>
          <w:tab w:val="left" w:pos="1134"/>
        </w:tabs>
        <w:spacing w:after="0" w:line="240" w:lineRule="auto"/>
        <w:ind w:left="1800"/>
        <w:jc w:val="both"/>
        <w:rPr>
          <w:rFonts w:ascii="Arial" w:hAnsi="Arial" w:cs="Arial"/>
          <w:sz w:val="24"/>
          <w:szCs w:val="24"/>
        </w:rPr>
      </w:pPr>
    </w:p>
    <w:p w14:paraId="438065D5"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At the top, a receptacle (with plug) used for gravity refuelling.</w:t>
      </w:r>
    </w:p>
    <w:p w14:paraId="2FCF6AE8"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4345078B"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At the rear of the filling receptacle, a grounding connector.</w:t>
      </w:r>
    </w:p>
    <w:p w14:paraId="4A3F415A"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77BAFC13"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On the right sidewall, a receptacle (and plug) for suction de-fuelling.</w:t>
      </w:r>
    </w:p>
    <w:p w14:paraId="5B6551B2"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58FC0FFA"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A cylindrical centre section of conventional design with frames and sheet metal skin.</w:t>
      </w:r>
    </w:p>
    <w:p w14:paraId="58FDBC64"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1931289D"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Tank-to-pylon electric connector.</w:t>
      </w:r>
    </w:p>
    <w:p w14:paraId="0DEFD22D"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445EB23C"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 xml:space="preserve">Air cross feed receptacle. </w:t>
      </w:r>
    </w:p>
    <w:p w14:paraId="7FE86FE0"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1318DA8A"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A suspension fitting at the front, a locating and stress pickup ball joint at the rear, a suspension socket attached to the bottom of the fitting by a set of concave and convex washers and a locknut.</w:t>
      </w:r>
    </w:p>
    <w:p w14:paraId="3B84A4D8"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6AB4BB99"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The tank suspension system under the pylon also incorporates the rear retaining device (RRD) which, in addition to the hook, contains a clevis assembly attached to the hook lower boss by a pinned key.</w:t>
      </w:r>
    </w:p>
    <w:p w14:paraId="328DC136" w14:textId="77777777" w:rsidR="00B36B2F" w:rsidRDefault="00B36B2F" w:rsidP="00B36B2F">
      <w:pPr>
        <w:pStyle w:val="ListParagraph"/>
        <w:tabs>
          <w:tab w:val="left" w:pos="1134"/>
        </w:tabs>
        <w:spacing w:after="0" w:line="240" w:lineRule="auto"/>
        <w:ind w:left="567"/>
        <w:jc w:val="both"/>
        <w:rPr>
          <w:rFonts w:ascii="Arial" w:hAnsi="Arial" w:cs="Arial"/>
          <w:sz w:val="24"/>
          <w:szCs w:val="24"/>
        </w:rPr>
      </w:pPr>
    </w:p>
    <w:p w14:paraId="033A0C4A" w14:textId="77777777" w:rsidR="00B36B2F" w:rsidRPr="003C4239" w:rsidRDefault="00B36B2F" w:rsidP="00B36B2F">
      <w:pPr>
        <w:pStyle w:val="ListParagraph"/>
        <w:numPr>
          <w:ilvl w:val="1"/>
          <w:numId w:val="1"/>
        </w:numPr>
        <w:tabs>
          <w:tab w:val="left" w:pos="1134"/>
        </w:tabs>
        <w:spacing w:after="0" w:line="240" w:lineRule="auto"/>
        <w:ind w:left="567" w:firstLine="0"/>
        <w:jc w:val="both"/>
        <w:rPr>
          <w:rFonts w:ascii="Arial" w:hAnsi="Arial" w:cs="Arial"/>
          <w:sz w:val="24"/>
          <w:szCs w:val="24"/>
        </w:rPr>
      </w:pPr>
      <w:r w:rsidRPr="003C4239">
        <w:rPr>
          <w:rFonts w:ascii="Arial" w:hAnsi="Arial" w:cs="Arial"/>
          <w:sz w:val="24"/>
          <w:szCs w:val="24"/>
        </w:rPr>
        <w:t>The clevis houses a body and a tie-rod, held by three shells. The shells are retained by a ring and encased in a cap.</w:t>
      </w:r>
    </w:p>
    <w:p w14:paraId="64F613ED" w14:textId="77777777" w:rsidR="00B36B2F" w:rsidRDefault="00B36B2F" w:rsidP="00B36B2F">
      <w:pPr>
        <w:pStyle w:val="ListParagraph"/>
        <w:tabs>
          <w:tab w:val="left" w:pos="1134"/>
        </w:tabs>
        <w:spacing w:after="0" w:line="240" w:lineRule="auto"/>
        <w:ind w:left="567" w:right="828"/>
        <w:jc w:val="both"/>
        <w:rPr>
          <w:rFonts w:ascii="Arial" w:hAnsi="Arial" w:cs="Arial"/>
          <w:sz w:val="24"/>
          <w:szCs w:val="24"/>
        </w:rPr>
      </w:pPr>
    </w:p>
    <w:p w14:paraId="4F6748E9" w14:textId="77777777" w:rsidR="00B36B2F" w:rsidRPr="003C4239" w:rsidRDefault="00B36B2F" w:rsidP="00B36B2F">
      <w:pPr>
        <w:pStyle w:val="ListParagraph"/>
        <w:numPr>
          <w:ilvl w:val="1"/>
          <w:numId w:val="1"/>
        </w:numPr>
        <w:tabs>
          <w:tab w:val="left" w:pos="1134"/>
        </w:tabs>
        <w:spacing w:after="0" w:line="240" w:lineRule="auto"/>
        <w:ind w:left="567" w:right="-46" w:firstLine="0"/>
        <w:jc w:val="both"/>
        <w:rPr>
          <w:rFonts w:ascii="Arial" w:hAnsi="Arial" w:cs="Arial"/>
          <w:sz w:val="24"/>
          <w:szCs w:val="24"/>
        </w:rPr>
      </w:pPr>
      <w:r w:rsidRPr="003C4239">
        <w:rPr>
          <w:rFonts w:ascii="Arial" w:hAnsi="Arial" w:cs="Arial"/>
          <w:sz w:val="24"/>
          <w:szCs w:val="24"/>
        </w:rPr>
        <w:t>The locknut and the ball joint are screwed to the tie-rod, with the ball joint housing between the locknut and the ball joint.</w:t>
      </w:r>
    </w:p>
    <w:p w14:paraId="4864ED02" w14:textId="77777777" w:rsidR="00B36B2F" w:rsidRDefault="00B36B2F" w:rsidP="00B36B2F">
      <w:pPr>
        <w:pStyle w:val="ListParagraph"/>
        <w:tabs>
          <w:tab w:val="left" w:pos="567"/>
        </w:tabs>
        <w:spacing w:after="0" w:line="240" w:lineRule="auto"/>
        <w:ind w:left="0"/>
        <w:jc w:val="both"/>
        <w:rPr>
          <w:rFonts w:ascii="Arial" w:hAnsi="Arial" w:cs="Arial"/>
          <w:sz w:val="24"/>
          <w:szCs w:val="24"/>
        </w:rPr>
      </w:pPr>
    </w:p>
    <w:p w14:paraId="62E541D0" w14:textId="77777777" w:rsidR="00B36B2F" w:rsidRDefault="00B36B2F" w:rsidP="00B36B2F">
      <w:pPr>
        <w:pStyle w:val="ListParagraph"/>
        <w:numPr>
          <w:ilvl w:val="0"/>
          <w:numId w:val="1"/>
        </w:numPr>
        <w:tabs>
          <w:tab w:val="left" w:pos="567"/>
        </w:tabs>
        <w:spacing w:after="0" w:line="240" w:lineRule="auto"/>
        <w:ind w:left="0" w:firstLine="0"/>
        <w:jc w:val="both"/>
        <w:rPr>
          <w:rFonts w:ascii="Arial" w:hAnsi="Arial" w:cs="Arial"/>
          <w:bCs/>
          <w:sz w:val="24"/>
          <w:szCs w:val="24"/>
          <w:u w:val="single"/>
        </w:rPr>
      </w:pPr>
      <w:r w:rsidRPr="003C4239">
        <w:rPr>
          <w:rFonts w:ascii="Arial" w:hAnsi="Arial" w:cs="Arial"/>
          <w:bCs/>
          <w:sz w:val="24"/>
          <w:szCs w:val="24"/>
          <w:u w:val="single"/>
        </w:rPr>
        <w:t xml:space="preserve">Physical </w:t>
      </w:r>
      <w:proofErr w:type="gramStart"/>
      <w:r w:rsidRPr="003C4239">
        <w:rPr>
          <w:rFonts w:ascii="Arial" w:hAnsi="Arial" w:cs="Arial"/>
          <w:bCs/>
          <w:sz w:val="24"/>
          <w:szCs w:val="24"/>
          <w:u w:val="single"/>
        </w:rPr>
        <w:t>Characteristics:-</w:t>
      </w:r>
      <w:proofErr w:type="gramEnd"/>
    </w:p>
    <w:p w14:paraId="101AAB79" w14:textId="77777777" w:rsidR="00B36B2F" w:rsidRDefault="00B36B2F" w:rsidP="00B36B2F">
      <w:pPr>
        <w:pStyle w:val="ListParagraph"/>
        <w:tabs>
          <w:tab w:val="left" w:pos="567"/>
        </w:tabs>
        <w:spacing w:after="0" w:line="240" w:lineRule="auto"/>
        <w:ind w:left="0"/>
        <w:jc w:val="both"/>
        <w:rPr>
          <w:rFonts w:ascii="Arial" w:hAnsi="Arial" w:cs="Arial"/>
          <w:bCs/>
          <w:sz w:val="24"/>
          <w:szCs w:val="24"/>
          <w:u w:val="single"/>
        </w:rPr>
      </w:pPr>
    </w:p>
    <w:p w14:paraId="6A30EB70" w14:textId="77777777" w:rsidR="00B36B2F" w:rsidRPr="00463ADE" w:rsidRDefault="00B36B2F" w:rsidP="00B36B2F">
      <w:pPr>
        <w:pStyle w:val="ListParagraph"/>
        <w:numPr>
          <w:ilvl w:val="0"/>
          <w:numId w:val="2"/>
        </w:numPr>
        <w:tabs>
          <w:tab w:val="left" w:pos="1134"/>
        </w:tabs>
        <w:spacing w:after="0" w:line="240" w:lineRule="auto"/>
        <w:ind w:left="567" w:firstLine="0"/>
        <w:jc w:val="both"/>
        <w:rPr>
          <w:rFonts w:ascii="Arial" w:hAnsi="Arial" w:cs="Arial"/>
          <w:sz w:val="24"/>
          <w:szCs w:val="24"/>
        </w:rPr>
      </w:pPr>
      <w:r w:rsidRPr="00463ADE">
        <w:rPr>
          <w:rFonts w:ascii="Arial" w:hAnsi="Arial" w:cs="Arial"/>
          <w:sz w:val="24"/>
          <w:szCs w:val="24"/>
        </w:rPr>
        <w:t>Overall length: 5700 mm (224.41 in)</w:t>
      </w:r>
    </w:p>
    <w:p w14:paraId="71C52783"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(b)</w:t>
      </w:r>
      <w:r w:rsidRPr="003C4239">
        <w:rPr>
          <w:rFonts w:ascii="Arial" w:hAnsi="Arial" w:cs="Arial"/>
          <w:sz w:val="24"/>
          <w:szCs w:val="24"/>
        </w:rPr>
        <w:tab/>
        <w:t>Max. Cross-section: 630 mm (24.80 in)</w:t>
      </w:r>
    </w:p>
    <w:p w14:paraId="3389C826"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(c)</w:t>
      </w:r>
      <w:r w:rsidRPr="003C4239">
        <w:rPr>
          <w:rFonts w:ascii="Arial" w:hAnsi="Arial" w:cs="Arial"/>
          <w:sz w:val="24"/>
          <w:szCs w:val="24"/>
        </w:rPr>
        <w:tab/>
        <w:t>Nose cone length: 1850 mm (72.83 in)</w:t>
      </w:r>
    </w:p>
    <w:p w14:paraId="47D02183"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(d)</w:t>
      </w:r>
      <w:r w:rsidRPr="003C4239">
        <w:rPr>
          <w:rFonts w:ascii="Arial" w:hAnsi="Arial" w:cs="Arial"/>
          <w:sz w:val="24"/>
          <w:szCs w:val="24"/>
        </w:rPr>
        <w:tab/>
        <w:t>Centre section length: 2000 mm (78.74 in)</w:t>
      </w:r>
    </w:p>
    <w:p w14:paraId="16A271EA"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(e)</w:t>
      </w:r>
      <w:r w:rsidRPr="003C4239">
        <w:rPr>
          <w:rFonts w:ascii="Arial" w:hAnsi="Arial" w:cs="Arial"/>
          <w:sz w:val="24"/>
          <w:szCs w:val="24"/>
        </w:rPr>
        <w:tab/>
        <w:t>Tail cone length: 1850 mm (72.83 in)</w:t>
      </w:r>
    </w:p>
    <w:p w14:paraId="70F8D0E2"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(f)</w:t>
      </w:r>
      <w:r w:rsidRPr="003C4239">
        <w:rPr>
          <w:rFonts w:ascii="Arial" w:hAnsi="Arial" w:cs="Arial"/>
          <w:sz w:val="24"/>
          <w:szCs w:val="24"/>
        </w:rPr>
        <w:tab/>
        <w:t>Empty weight: 97.8 kg (215.61 lb)</w:t>
      </w:r>
    </w:p>
    <w:p w14:paraId="147254C2"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(g)</w:t>
      </w:r>
      <w:r w:rsidRPr="003C4239">
        <w:rPr>
          <w:rFonts w:ascii="Arial" w:hAnsi="Arial" w:cs="Arial"/>
          <w:sz w:val="24"/>
          <w:szCs w:val="24"/>
        </w:rPr>
        <w:tab/>
        <w:t>Full weight: 1130 kg (2491.2 lb)</w:t>
      </w:r>
    </w:p>
    <w:p w14:paraId="012A4443"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(h)</w:t>
      </w:r>
      <w:r w:rsidRPr="003C4239">
        <w:rPr>
          <w:rFonts w:ascii="Arial" w:hAnsi="Arial" w:cs="Arial"/>
          <w:sz w:val="24"/>
          <w:szCs w:val="24"/>
        </w:rPr>
        <w:tab/>
        <w:t>Usable capacity: 1300 l (343.46 USG)</w:t>
      </w:r>
    </w:p>
    <w:p w14:paraId="4D897124" w14:textId="77777777" w:rsidR="00B36B2F" w:rsidRPr="003C4239" w:rsidRDefault="00B36B2F" w:rsidP="00B36B2F">
      <w:pPr>
        <w:tabs>
          <w:tab w:val="left" w:pos="1134"/>
        </w:tabs>
        <w:spacing w:after="0" w:line="240" w:lineRule="auto"/>
        <w:ind w:left="567"/>
        <w:jc w:val="both"/>
        <w:rPr>
          <w:rFonts w:ascii="Arial" w:hAnsi="Arial" w:cs="Arial"/>
          <w:sz w:val="24"/>
          <w:szCs w:val="24"/>
        </w:rPr>
      </w:pPr>
      <w:r w:rsidRPr="003C4239">
        <w:rPr>
          <w:rFonts w:ascii="Arial" w:hAnsi="Arial" w:cs="Arial"/>
          <w:sz w:val="24"/>
          <w:szCs w:val="24"/>
        </w:rPr>
        <w:t>(j)</w:t>
      </w:r>
      <w:r w:rsidRPr="003C4239">
        <w:rPr>
          <w:rFonts w:ascii="Arial" w:hAnsi="Arial" w:cs="Arial"/>
          <w:sz w:val="24"/>
          <w:szCs w:val="24"/>
        </w:rPr>
        <w:tab/>
        <w:t>Transferable capacity: 1285 l (339.46 USG)</w:t>
      </w:r>
    </w:p>
    <w:p w14:paraId="2CC651C4" w14:textId="77777777" w:rsidR="00B36B2F" w:rsidRDefault="00B36B2F" w:rsidP="00B36B2F">
      <w:pPr>
        <w:pStyle w:val="ListParagraph"/>
        <w:tabs>
          <w:tab w:val="left" w:pos="567"/>
        </w:tabs>
        <w:spacing w:after="0" w:line="240" w:lineRule="auto"/>
        <w:ind w:left="0"/>
        <w:jc w:val="both"/>
        <w:rPr>
          <w:rFonts w:ascii="Arial" w:hAnsi="Arial" w:cs="Arial"/>
          <w:bCs/>
          <w:sz w:val="24"/>
          <w:szCs w:val="24"/>
          <w:u w:val="single"/>
        </w:rPr>
      </w:pPr>
    </w:p>
    <w:p w14:paraId="4F3B896B" w14:textId="77777777" w:rsidR="00B36B2F" w:rsidRPr="00463ADE" w:rsidRDefault="00B36B2F" w:rsidP="00B36B2F">
      <w:pPr>
        <w:pStyle w:val="ListParagraph"/>
        <w:numPr>
          <w:ilvl w:val="0"/>
          <w:numId w:val="1"/>
        </w:numPr>
        <w:tabs>
          <w:tab w:val="left" w:pos="567"/>
        </w:tabs>
        <w:spacing w:after="0" w:line="240" w:lineRule="auto"/>
        <w:ind w:left="0" w:firstLine="0"/>
        <w:jc w:val="both"/>
        <w:rPr>
          <w:rFonts w:ascii="Arial" w:hAnsi="Arial" w:cs="Arial"/>
          <w:bCs/>
          <w:sz w:val="24"/>
          <w:szCs w:val="24"/>
          <w:u w:val="single"/>
        </w:rPr>
      </w:pPr>
      <w:r w:rsidRPr="00463ADE">
        <w:rPr>
          <w:rFonts w:ascii="Arial" w:hAnsi="Arial" w:cs="Arial"/>
          <w:sz w:val="24"/>
          <w:szCs w:val="24"/>
        </w:rPr>
        <w:t xml:space="preserve">The Wing Drop Tank can be jettisoned in selective or emergency mode by a device incorporated in the drop tank pylon. On jettisoning, the drop tank is ejected and </w:t>
      </w:r>
      <w:r w:rsidRPr="00463ADE">
        <w:rPr>
          <w:rFonts w:ascii="Arial" w:hAnsi="Arial" w:cs="Arial"/>
          <w:sz w:val="24"/>
          <w:szCs w:val="24"/>
        </w:rPr>
        <w:lastRenderedPageBreak/>
        <w:t>the hook nose is released from the clevis opening. The cap is then twisted. The ring breaks open and the three shells separate, releasing the tie-rod and the tank. The tank drops together with the clevis. The ball joint with the half-body and the tie-rod remain attached to the pylon.</w:t>
      </w:r>
    </w:p>
    <w:p w14:paraId="3A13B712" w14:textId="77777777" w:rsidR="00B36B2F" w:rsidRPr="00463ADE" w:rsidRDefault="00B36B2F" w:rsidP="00B36B2F">
      <w:pPr>
        <w:pStyle w:val="ListParagraph"/>
        <w:tabs>
          <w:tab w:val="left" w:pos="567"/>
        </w:tabs>
        <w:spacing w:after="0" w:line="240" w:lineRule="auto"/>
        <w:ind w:left="0"/>
        <w:jc w:val="both"/>
        <w:rPr>
          <w:rFonts w:ascii="Arial" w:hAnsi="Arial" w:cs="Arial"/>
          <w:bCs/>
          <w:sz w:val="24"/>
          <w:szCs w:val="24"/>
          <w:u w:val="single"/>
        </w:rPr>
      </w:pPr>
    </w:p>
    <w:p w14:paraId="21630848" w14:textId="77777777" w:rsidR="00B36B2F" w:rsidRPr="00463ADE" w:rsidRDefault="00B36B2F" w:rsidP="00B36B2F">
      <w:pPr>
        <w:pStyle w:val="ListParagraph"/>
        <w:numPr>
          <w:ilvl w:val="0"/>
          <w:numId w:val="1"/>
        </w:numPr>
        <w:tabs>
          <w:tab w:val="left" w:pos="567"/>
        </w:tabs>
        <w:spacing w:after="0" w:line="240" w:lineRule="auto"/>
        <w:ind w:left="0" w:firstLine="0"/>
        <w:jc w:val="both"/>
        <w:rPr>
          <w:rFonts w:ascii="Arial" w:hAnsi="Arial" w:cs="Arial"/>
          <w:bCs/>
          <w:sz w:val="24"/>
          <w:szCs w:val="24"/>
          <w:u w:val="single"/>
        </w:rPr>
      </w:pPr>
      <w:r w:rsidRPr="00463ADE">
        <w:rPr>
          <w:rFonts w:ascii="Arial" w:hAnsi="Arial" w:cs="Arial"/>
          <w:sz w:val="24"/>
          <w:szCs w:val="24"/>
        </w:rPr>
        <w:t>Interested individuals / Start Ups / MSMEs / DPSUs / Indian Companies, desirous of participating in this development project may submit their proposals to the project officer by the last date listed on MoD Website of Make II. The respondents are requested to provide information on points listed in the General Aspects and Technical Aspects as follows.</w:t>
      </w:r>
    </w:p>
    <w:p w14:paraId="33676183" w14:textId="77777777" w:rsidR="00B36B2F" w:rsidRDefault="00B36B2F"/>
    <w:sectPr w:rsidR="00B36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44EF6"/>
    <w:multiLevelType w:val="hybridMultilevel"/>
    <w:tmpl w:val="E2AEDB9E"/>
    <w:lvl w:ilvl="0" w:tplc="B50E4862">
      <w:start w:val="1"/>
      <w:numFmt w:val="lowerLetter"/>
      <w:lvlText w:val="(%1)"/>
      <w:lvlJc w:val="left"/>
      <w:pPr>
        <w:ind w:left="2367" w:hanging="72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 w15:restartNumberingAfterBreak="0">
    <w:nsid w:val="65454D03"/>
    <w:multiLevelType w:val="hybridMultilevel"/>
    <w:tmpl w:val="9C3E7D8A"/>
    <w:lvl w:ilvl="0" w:tplc="00FACB32">
      <w:start w:val="1"/>
      <w:numFmt w:val="decimal"/>
      <w:lvlText w:val="%1."/>
      <w:lvlJc w:val="left"/>
      <w:pPr>
        <w:ind w:left="1080" w:hanging="720"/>
      </w:pPr>
      <w:rPr>
        <w:rFonts w:hint="default"/>
      </w:rPr>
    </w:lvl>
    <w:lvl w:ilvl="1" w:tplc="B50E4862">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2F"/>
    <w:rsid w:val="00B36B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838"/>
  <w15:chartTrackingRefBased/>
  <w15:docId w15:val="{BDBBB671-2FAE-4571-82DC-63ABE88A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2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poms</dc:creator>
  <cp:keywords/>
  <dc:description/>
  <cp:lastModifiedBy>poms</cp:lastModifiedBy>
  <cp:revision>1</cp:revision>
  <dcterms:created xsi:type="dcterms:W3CDTF">2019-04-11T10:03:00Z</dcterms:created>
  <dcterms:modified xsi:type="dcterms:W3CDTF">2019-04-11T10:04:00Z</dcterms:modified>
</cp:coreProperties>
</file>